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5</w:t>
      </w:r>
    </w:p>
    <w:p>
      <w:pPr>
        <w:tabs>
          <w:tab w:val="left" w:pos="1800"/>
        </w:tabs>
        <w:spacing w:line="560" w:lineRule="exact"/>
        <w:jc w:val="center"/>
        <w:rPr>
          <w:rFonts w:hint="eastAsia" w:eastAsia="方正小标宋简体"/>
          <w:color w:val="000000"/>
          <w:sz w:val="36"/>
          <w:szCs w:val="36"/>
        </w:rPr>
      </w:pPr>
      <w:r>
        <w:rPr>
          <w:rFonts w:hint="eastAsia" w:eastAsia="方正小标宋简体"/>
          <w:color w:val="000000"/>
          <w:sz w:val="36"/>
          <w:szCs w:val="36"/>
          <w:lang w:val="en-US" w:eastAsia="zh-CN"/>
        </w:rPr>
        <w:t>东莞理工学院2024年普通专升本自命题考试考生报名缴费操作指引</w:t>
      </w:r>
    </w:p>
    <w:p>
      <w:pPr>
        <w:rPr>
          <w:rFonts w:hint="eastAsia"/>
        </w:rPr>
      </w:pPr>
    </w:p>
    <w:p/>
    <w:p>
      <w:pPr>
        <w:pStyle w:val="4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1、考生通过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微信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扫描图片二维码进入手机端界面，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可联系财务部郑老师0769-22861626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jc w:val="center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2733040" cy="3159125"/>
            <wp:effectExtent l="0" t="0" r="10160" b="10795"/>
            <wp:docPr id="3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4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考生登录后可在主页查看个人待缴账单。点击“其它缴费”，确认个人缴费信息后，点击“缴费”跳转至缴费界面。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2110105" cy="4159885"/>
            <wp:effectExtent l="0" t="0" r="8255" b="635"/>
            <wp:docPr id="2" name="图片 2" descr="d1127430f9cdfeb9381a0ec43ee5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1127430f9cdfeb9381a0ec43ee5a2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 xml:space="preserve">   </w:t>
      </w:r>
      <w:r>
        <w:drawing>
          <wp:inline distT="0" distB="0" distL="114300" distR="114300">
            <wp:extent cx="2146935" cy="4172585"/>
            <wp:effectExtent l="0" t="0" r="1905" b="31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417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选择“微信支付”进行缴费，该缴费方式需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全程在微信进行操作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，如跳转至浏览器或其他平台将会缴费失败。</w:t>
      </w:r>
    </w:p>
    <w:p>
      <w:pPr>
        <w:jc w:val="both"/>
        <w:rPr>
          <w:rFonts w:hint="default" w:ascii="Times New Roman" w:hAnsi="Times New Roman" w:cs="Times New Roman"/>
          <w:color w:val="000000"/>
        </w:rPr>
      </w:pPr>
      <w:r>
        <w:drawing>
          <wp:inline distT="0" distB="0" distL="114300" distR="114300">
            <wp:extent cx="2301875" cy="4504690"/>
            <wp:effectExtent l="0" t="0" r="14605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45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2296160" cy="4523105"/>
            <wp:effectExtent l="0" t="0" r="5080" b="3175"/>
            <wp:docPr id="1" name="图片 5" descr="e6b6da7f833d4950fb288d4fe880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e6b6da7f833d4950fb288d4fe880d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45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bookmarkStart w:id="0" w:name="_GoBack"/>
      <w:bookmarkEnd w:id="0"/>
    </w:p>
    <w:sectPr>
      <w:pgSz w:w="11905" w:h="16838"/>
      <w:pgMar w:top="1440" w:right="1417" w:bottom="144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BA8D70-7DCD-49C6-B80D-8E57E16C90F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394051E-AD78-4AA5-BF59-DBF259A538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A003F7F-84EC-413C-98FC-EB78B3F70C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F65AF"/>
    <w:multiLevelType w:val="multilevel"/>
    <w:tmpl w:val="511F65AF"/>
    <w:lvl w:ilvl="0" w:tentative="0">
      <w:start w:val="1"/>
      <w:numFmt w:val="decimal"/>
      <w:pStyle w:val="3"/>
      <w:suff w:val="space"/>
      <w:lvlText w:val="3.2.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27F65A"/>
    <w:multiLevelType w:val="singleLevel"/>
    <w:tmpl w:val="6C27F65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3B2B3B7B"/>
    <w:rsid w:val="3B2B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4"/>
    <w:next w:val="1"/>
    <w:unhideWhenUsed/>
    <w:qFormat/>
    <w:uiPriority w:val="9"/>
    <w:pPr>
      <w:numPr>
        <w:ilvl w:val="0"/>
        <w:numId w:val="1"/>
      </w:numPr>
      <w:ind w:firstLine="0" w:firstLineChars="0"/>
      <w:outlineLvl w:val="2"/>
    </w:pPr>
    <w:rPr>
      <w:b/>
      <w:kern w:val="0"/>
      <w:sz w:val="20"/>
      <w:szCs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2024-01-02T13:03:00Z</dcterms:created>
  <dc:creator>小娜</dc:creator>
  <cp:lastModifiedBy>小娜</cp:lastModifiedBy>
  <dcterms:modified xsi:type="dcterms:W3CDTF">2024-01-02T13:04:29Z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13A02E5C5F7643BA8F7F72E9D047846B_11</vt:lpwstr>
  </property>
</Properties>
</file>